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C21ED5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Lucerne Valley</w:t>
      </w:r>
    </w:p>
    <w:p w:rsidR="00C21ED5" w:rsidRDefault="00C21ED5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C21ED5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 </w:t>
      </w:r>
    </w:p>
    <w:p w:rsidR="00C21ED5" w:rsidRPr="00C21ED5" w:rsidRDefault="00C21ED5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60B71B9" wp14:editId="3E4346D3">
            <wp:extent cx="9163050" cy="6115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C21ED5" w:rsidRPr="00C21ED5" w:rsidSect="00C21E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D5"/>
    <w:rsid w:val="00206930"/>
    <w:rsid w:val="00C2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0B7D0-AB6F-4D6C-9BBE-D17E22D7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Californian FB" panose="0207040306080B030204" pitchFamily="18" charset="0"/>
              </a:rPr>
              <a:t>17</a:t>
            </a:r>
            <a:r>
              <a:rPr lang="en-US" baseline="0">
                <a:latin typeface="Californian FB" panose="0207040306080B030204" pitchFamily="18" charset="0"/>
              </a:rPr>
              <a:t> Total Sales</a:t>
            </a:r>
            <a:endParaRPr lang="en-US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4071440"/>
        <c:axId val="414072224"/>
        <c:axId val="0"/>
      </c:bar3DChart>
      <c:catAx>
        <c:axId val="414071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072224"/>
        <c:crosses val="autoZero"/>
        <c:auto val="1"/>
        <c:lblAlgn val="ctr"/>
        <c:lblOffset val="100"/>
        <c:noMultiLvlLbl val="0"/>
      </c:catAx>
      <c:valAx>
        <c:axId val="4140722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4071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0.16112</cdr:x>
      <cdr:y>0.3162</cdr:y>
    </cdr:from>
    <cdr:to>
      <cdr:x>0.52183</cdr:x>
      <cdr:y>0.38318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933575"/>
          <a:ext cx="33051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3,657</a:t>
          </a:r>
          <a:r>
            <a:rPr lang="en-US" sz="1100" baseline="0"/>
            <a:t> - Year Built </a:t>
          </a:r>
          <a:r>
            <a:rPr lang="en-US" sz="1100" b="1" baseline="0"/>
            <a:t>1980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</cdr:x>
      <cdr:y>0.3785</cdr:y>
    </cdr:from>
    <cdr:to>
      <cdr:x>0.50728</cdr:x>
      <cdr:y>0.4486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47800" y="2314575"/>
          <a:ext cx="3200400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2,588</a:t>
          </a:r>
          <a:r>
            <a:rPr lang="en-US" sz="1100"/>
            <a:t> - Year Built </a:t>
          </a:r>
          <a:r>
            <a:rPr lang="en-US" sz="1100" b="1"/>
            <a:t>2007</a:t>
          </a:r>
        </a:p>
      </cdr:txBody>
    </cdr:sp>
  </cdr:relSizeAnchor>
  <cdr:relSizeAnchor xmlns:cdr="http://schemas.openxmlformats.org/drawingml/2006/chartDrawing">
    <cdr:from>
      <cdr:x>0.72869</cdr:x>
      <cdr:y>0.24766</cdr:y>
    </cdr:from>
    <cdr:to>
      <cdr:x>0.82848</cdr:x>
      <cdr:y>0.3972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6677025" y="15144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0.158</cdr:x>
      <cdr:y>0.44237</cdr:y>
    </cdr:from>
    <cdr:to>
      <cdr:x>0.53326</cdr:x>
      <cdr:y>0.50779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47800" y="2705100"/>
          <a:ext cx="34385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2,036</a:t>
          </a:r>
          <a:r>
            <a:rPr lang="en-US" sz="1100"/>
            <a:t> - Average Year Built </a:t>
          </a:r>
          <a:r>
            <a:rPr lang="en-US" sz="1100" b="1"/>
            <a:t>1976</a:t>
          </a:r>
        </a:p>
      </cdr:txBody>
    </cdr:sp>
  </cdr:relSizeAnchor>
  <cdr:relSizeAnchor xmlns:cdr="http://schemas.openxmlformats.org/drawingml/2006/chartDrawing">
    <cdr:from>
      <cdr:x>0.16008</cdr:x>
      <cdr:y>0.50467</cdr:y>
    </cdr:from>
    <cdr:to>
      <cdr:x>0.55717</cdr:x>
      <cdr:y>0.57788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3086100"/>
          <a:ext cx="36385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1,974</a:t>
          </a:r>
          <a:r>
            <a:rPr lang="en-US" sz="1100" baseline="0"/>
            <a:t> - Average Year Built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0.16008</cdr:x>
      <cdr:y>0.56698</cdr:y>
    </cdr:from>
    <cdr:to>
      <cdr:x>0.4948</cdr:x>
      <cdr:y>0.63863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3467100"/>
          <a:ext cx="3067050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2,641</a:t>
          </a:r>
          <a:r>
            <a:rPr lang="en-US" sz="1100"/>
            <a:t> - Year Built</a:t>
          </a:r>
          <a:r>
            <a:rPr lang="en-US" sz="1100" baseline="0"/>
            <a:t> </a:t>
          </a:r>
          <a:r>
            <a:rPr lang="en-US" sz="1100" b="1" baseline="0"/>
            <a:t>1991</a:t>
          </a:r>
          <a:endParaRPr lang="en-US" sz="1100" b="1"/>
        </a:p>
      </cdr:txBody>
    </cdr:sp>
  </cdr:relSizeAnchor>
  <cdr:relSizeAnchor xmlns:cdr="http://schemas.openxmlformats.org/drawingml/2006/chartDrawing">
    <cdr:from>
      <cdr:x>0.15696</cdr:x>
      <cdr:y>0.62928</cdr:y>
    </cdr:from>
    <cdr:to>
      <cdr:x>0.52911</cdr:x>
      <cdr:y>0.70717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38275" y="3848100"/>
          <a:ext cx="34099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1,844</a:t>
          </a:r>
          <a:r>
            <a:rPr lang="en-US" sz="1100"/>
            <a:t> - Average Year Built </a:t>
          </a:r>
          <a:r>
            <a:rPr lang="en-US" sz="1100" b="1"/>
            <a:t>1983</a:t>
          </a:r>
        </a:p>
      </cdr:txBody>
    </cdr:sp>
  </cdr:relSizeAnchor>
  <cdr:relSizeAnchor xmlns:cdr="http://schemas.openxmlformats.org/drawingml/2006/chartDrawing">
    <cdr:from>
      <cdr:x>0.16112</cdr:x>
      <cdr:y>0.69003</cdr:y>
    </cdr:from>
    <cdr:to>
      <cdr:x>0.5104</cdr:x>
      <cdr:y>0.75078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219575"/>
          <a:ext cx="320040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1,998</a:t>
          </a:r>
          <a:r>
            <a:rPr lang="en-US" sz="1100"/>
            <a:t> -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0.16008</cdr:x>
      <cdr:y>0.81464</cdr:y>
    </cdr:from>
    <cdr:to>
      <cdr:x>0.54886</cdr:x>
      <cdr:y>0.8972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4981575"/>
          <a:ext cx="356235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1,211</a:t>
          </a:r>
          <a:r>
            <a:rPr lang="en-US" sz="1100"/>
            <a:t> - Average Year Built </a:t>
          </a:r>
          <a:r>
            <a:rPr lang="en-US" sz="1100" b="1"/>
            <a:t>1960</a:t>
          </a:r>
        </a:p>
      </cdr:txBody>
    </cdr:sp>
  </cdr:relSizeAnchor>
  <cdr:relSizeAnchor xmlns:cdr="http://schemas.openxmlformats.org/drawingml/2006/chartDrawing">
    <cdr:from>
      <cdr:x>0.15904</cdr:x>
      <cdr:y>0.87695</cdr:y>
    </cdr:from>
    <cdr:to>
      <cdr:x>0.56965</cdr:x>
      <cdr:y>0.95794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57325" y="5362575"/>
          <a:ext cx="376237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1,065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1958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0.15904</cdr:x>
      <cdr:y>0.94081</cdr:y>
    </cdr:from>
    <cdr:to>
      <cdr:x>0.55405</cdr:x>
      <cdr:y>0.99688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57325" y="5753100"/>
          <a:ext cx="36195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946</a:t>
          </a:r>
          <a:r>
            <a:rPr lang="en-US" sz="1100"/>
            <a:t> Year Built </a:t>
          </a:r>
          <a:r>
            <a:rPr lang="en-US" sz="1100" b="1"/>
            <a:t>1956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2018-05-24T17:38:00Z</dcterms:created>
  <dcterms:modified xsi:type="dcterms:W3CDTF">2018-05-24T17:46:00Z</dcterms:modified>
</cp:coreProperties>
</file>